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E2" w:rsidRDefault="008868E2" w:rsidP="008868E2">
      <w:pPr>
        <w:ind w:firstLine="570"/>
        <w:jc w:val="center"/>
        <w:rPr>
          <w:rFonts w:ascii="Times New Roman" w:hAnsi="Times New Roman"/>
          <w:b/>
          <w:bCs/>
        </w:rPr>
      </w:pPr>
      <w:r>
        <w:rPr>
          <w:rFonts w:ascii="Times New Roman" w:hAnsi="Times New Roman"/>
          <w:b/>
          <w:bCs/>
        </w:rPr>
        <w:t>КОЛЛЕКТИВНОЕ ОБРАЩЕНИЕ</w:t>
      </w:r>
    </w:p>
    <w:p w:rsidR="008868E2" w:rsidRDefault="008868E2" w:rsidP="008868E2">
      <w:pPr>
        <w:ind w:firstLine="570"/>
        <w:jc w:val="both"/>
        <w:rPr>
          <w:rFonts w:ascii="Times New Roman" w:hAnsi="Times New Roman"/>
        </w:rPr>
      </w:pPr>
      <w:r>
        <w:rPr>
          <w:rFonts w:ascii="Times New Roman" w:hAnsi="Times New Roman"/>
        </w:rPr>
        <w:t>От имени сотрудников Государственного бюджетного учреждения здравоохранения Ямало-Ненецкого автономного округа “</w:t>
      </w:r>
      <w:proofErr w:type="spellStart"/>
      <w:r>
        <w:rPr>
          <w:rFonts w:ascii="Times New Roman" w:hAnsi="Times New Roman"/>
        </w:rPr>
        <w:t>Лабытнангская</w:t>
      </w:r>
      <w:proofErr w:type="spellEnd"/>
      <w:r>
        <w:rPr>
          <w:rFonts w:ascii="Times New Roman" w:hAnsi="Times New Roman"/>
        </w:rPr>
        <w:t xml:space="preserve"> городская больница” (далее - ГБУЗ ЯНАО “ЛГБ”, Учреждение, </w:t>
      </w:r>
      <w:proofErr w:type="spellStart"/>
      <w:r>
        <w:rPr>
          <w:rFonts w:ascii="Times New Roman" w:hAnsi="Times New Roman"/>
        </w:rPr>
        <w:t>Лабытнангская</w:t>
      </w:r>
      <w:proofErr w:type="spellEnd"/>
      <w:r>
        <w:rPr>
          <w:rFonts w:ascii="Times New Roman" w:hAnsi="Times New Roman"/>
        </w:rPr>
        <w:t xml:space="preserve"> городская больница, больница) сообщаем о следующем: в нарушение норм действующего законодательства о повышении реального содержания заработных плат и увеличении минимального размера оплаты труда с 01.01.2024 г.:</w:t>
      </w:r>
    </w:p>
    <w:p w:rsidR="008868E2" w:rsidRDefault="008868E2" w:rsidP="008868E2">
      <w:pPr>
        <w:ind w:firstLine="570"/>
        <w:jc w:val="both"/>
        <w:rPr>
          <w:rFonts w:ascii="Times New Roman" w:hAnsi="Times New Roman"/>
        </w:rPr>
      </w:pPr>
      <w:r>
        <w:rPr>
          <w:rFonts w:ascii="Times New Roman" w:hAnsi="Times New Roman"/>
        </w:rPr>
        <w:t xml:space="preserve">1. оклады сотрудников Учреждения была увеличены только 01.05.2024 г., </w:t>
      </w:r>
    </w:p>
    <w:p w:rsidR="008868E2" w:rsidRDefault="008868E2" w:rsidP="008868E2">
      <w:pPr>
        <w:ind w:firstLine="570"/>
        <w:jc w:val="both"/>
        <w:rPr>
          <w:rFonts w:ascii="Times New Roman" w:hAnsi="Times New Roman"/>
        </w:rPr>
      </w:pPr>
      <w:r>
        <w:rPr>
          <w:rFonts w:ascii="Times New Roman" w:hAnsi="Times New Roman"/>
        </w:rPr>
        <w:t xml:space="preserve">2. при этом в период с января по март 2024 г. абсолютно всем сотрудникам была снижена надбавка за интенсивность труда на 20%, </w:t>
      </w:r>
    </w:p>
    <w:p w:rsidR="008868E2" w:rsidRDefault="008868E2" w:rsidP="008868E2">
      <w:pPr>
        <w:ind w:firstLine="570"/>
        <w:jc w:val="both"/>
        <w:rPr>
          <w:rFonts w:ascii="Times New Roman" w:hAnsi="Times New Roman"/>
        </w:rPr>
      </w:pPr>
      <w:r>
        <w:rPr>
          <w:rFonts w:ascii="Times New Roman" w:hAnsi="Times New Roman"/>
        </w:rPr>
        <w:t>3. также нам неизвестно производились ли соответствующие доплаты тем сотрудникам, чьи оклады в период с января по апрель были ниже установленного законом значения минимального размера оплаты труда (далее - МРОТ).</w:t>
      </w:r>
    </w:p>
    <w:p w:rsidR="008868E2" w:rsidRDefault="008868E2" w:rsidP="008868E2">
      <w:pPr>
        <w:tabs>
          <w:tab w:val="left" w:pos="1238"/>
        </w:tabs>
        <w:ind w:firstLine="587"/>
        <w:jc w:val="both"/>
        <w:rPr>
          <w:rFonts w:ascii="Times New Roman" w:hAnsi="Times New Roman"/>
        </w:rPr>
      </w:pPr>
      <w:r>
        <w:rPr>
          <w:rFonts w:ascii="Times New Roman" w:hAnsi="Times New Roman"/>
        </w:rPr>
        <w:t xml:space="preserve">Федеральным законом от 27.11.2023 г. №548-ФЗ "О внесении изменений в статью 1 Федерального закона "О минимальном размере оплаты труда" и признании утратившими силу статей 2 и 3 Федерального закона "О внесении изменения в статью 1 Федерального закона "О минимальном размере оплаты труда" и о приостановлении действия ее отдельных положений" с 1 января 2024 г. установлен минимальный размер оплату труда в сумме 19 242 рубля в месяц. </w:t>
      </w:r>
    </w:p>
    <w:p w:rsidR="008868E2" w:rsidRDefault="008868E2" w:rsidP="008868E2">
      <w:pPr>
        <w:ind w:left="15" w:firstLine="540"/>
        <w:jc w:val="both"/>
        <w:rPr>
          <w:rFonts w:ascii="Times New Roman" w:hAnsi="Times New Roman"/>
        </w:rPr>
      </w:pPr>
      <w:r>
        <w:rPr>
          <w:rFonts w:ascii="Times New Roman" w:hAnsi="Times New Roman"/>
        </w:rPr>
        <w:t xml:space="preserve">Работники </w:t>
      </w:r>
      <w:proofErr w:type="spellStart"/>
      <w:r>
        <w:rPr>
          <w:rFonts w:ascii="Times New Roman" w:hAnsi="Times New Roman"/>
        </w:rPr>
        <w:t>Лабытнангской</w:t>
      </w:r>
      <w:proofErr w:type="spellEnd"/>
      <w:r>
        <w:rPr>
          <w:rFonts w:ascii="Times New Roman" w:hAnsi="Times New Roman"/>
        </w:rPr>
        <w:t xml:space="preserve"> городской больницы считают, что их права были нарушены по следующим основаниям. </w:t>
      </w:r>
    </w:p>
    <w:p w:rsidR="008868E2" w:rsidRDefault="008868E2" w:rsidP="008868E2">
      <w:pPr>
        <w:ind w:left="15" w:firstLine="540"/>
        <w:jc w:val="both"/>
        <w:rPr>
          <w:rFonts w:ascii="Times New Roman" w:hAnsi="Times New Roman"/>
        </w:rPr>
      </w:pPr>
      <w:r>
        <w:rPr>
          <w:rFonts w:ascii="Times New Roman" w:hAnsi="Times New Roman"/>
        </w:rPr>
        <w:t xml:space="preserve">Трудовой Кодекс Российской Федерации в систему основных гарантий по оплате труда включает величину минимального размера оплаты труда и меры, обеспечивающие повышение уровня реального содержания заработной платы (ст. 130 ТК РФ). Статья 134 ТК РФ гласит, что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В смысловой совокупности статьи устанавливают обязанность работодателей, относящихся к числу государственных учреждений, индексировать заработную плату в связи с ростом цен на потребительские товары и услуги. </w:t>
      </w:r>
    </w:p>
    <w:p w:rsidR="008868E2" w:rsidRDefault="008868E2" w:rsidP="008868E2">
      <w:pPr>
        <w:ind w:left="15" w:firstLine="540"/>
        <w:jc w:val="both"/>
        <w:rPr>
          <w:rFonts w:ascii="Times New Roman" w:hAnsi="Times New Roman"/>
        </w:rPr>
      </w:pPr>
      <w:r>
        <w:rPr>
          <w:rFonts w:ascii="Times New Roman" w:hAnsi="Times New Roman"/>
        </w:rPr>
        <w:t xml:space="preserve">В нашем понимании с 01.01.2024 г. обязательной индексации подлежала гарантированная часть заработных плат - должностные оклады. </w:t>
      </w:r>
    </w:p>
    <w:p w:rsidR="008868E2" w:rsidRDefault="008868E2" w:rsidP="008868E2">
      <w:pPr>
        <w:ind w:left="15" w:firstLine="537"/>
        <w:jc w:val="both"/>
        <w:rPr>
          <w:rFonts w:ascii="Times New Roman" w:hAnsi="Times New Roman"/>
        </w:rPr>
      </w:pPr>
      <w:r>
        <w:rPr>
          <w:rFonts w:ascii="Times New Roman" w:hAnsi="Times New Roman"/>
        </w:rPr>
        <w:t xml:space="preserve">Положениями статей 7 и 37 </w:t>
      </w:r>
      <w:hyperlink r:id="rId5" w:history="1">
        <w:r>
          <w:rPr>
            <w:rFonts w:ascii="Times New Roman" w:hAnsi="Times New Roman"/>
          </w:rPr>
          <w:t>Конституции Российской Федерации</w:t>
        </w:r>
      </w:hyperlink>
      <w:r>
        <w:rPr>
          <w:rFonts w:ascii="Times New Roman" w:hAnsi="Times New Roman"/>
        </w:rPr>
        <w:t xml:space="preserve"> установлено, что вознаграждение за труд не ниже установленного федеральным законом минимального размера оплаты труда гарантируется каждому, а следовательно, определение его величины должно основываться на характеристиках труда, свойственных любой трудовой деятельности, без учета особых условий ее осуществления. Социально-экономическая природа минимального размера оплаты труда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 </w:t>
      </w:r>
    </w:p>
    <w:p w:rsidR="008868E2" w:rsidRDefault="008868E2" w:rsidP="008868E2">
      <w:pPr>
        <w:ind w:firstLine="575"/>
        <w:jc w:val="both"/>
        <w:rPr>
          <w:rFonts w:ascii="Times New Roman" w:hAnsi="Times New Roman"/>
        </w:rPr>
      </w:pPr>
      <w:r>
        <w:rPr>
          <w:rFonts w:ascii="Times New Roman" w:hAnsi="Times New Roman"/>
        </w:rPr>
        <w:t xml:space="preserve">Постановление Конституционного суда РФ от 07.12.2017 г. №38-П гласит, что в состав МРОТ не включаются районный коэффициент и процентная надбавка, начисляемая в связи с работой в местностях с особыми климатическими условиями, в том числе в районах Крайнего Севера и приравненных к ним местностях. </w:t>
      </w:r>
    </w:p>
    <w:p w:rsidR="008868E2" w:rsidRDefault="008868E2" w:rsidP="008868E2">
      <w:pPr>
        <w:ind w:left="15" w:firstLine="537"/>
        <w:jc w:val="both"/>
        <w:rPr>
          <w:rFonts w:ascii="Times New Roman" w:hAnsi="Times New Roman"/>
        </w:rPr>
      </w:pPr>
      <w:r>
        <w:rPr>
          <w:rFonts w:ascii="Times New Roman" w:hAnsi="Times New Roman"/>
        </w:rPr>
        <w:lastRenderedPageBreak/>
        <w:t xml:space="preserve">Региональным трехсторонним соглашением "О минимальной заработной плате в Ямало-Ненецком автономном округе" от 25.12.2023 г. также прописано, что выплата минимальной заработной платы осуществляется с применением к ней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 законодательством Российской Федерации, но не ниже величины прожиточного минимума трудоспособного населения в Ямало-Ненецком автономном округе, установленной на текущий год. Месячная заработная плата работника, работающего на территории автономного округа и состоящего в трудовых отношениях с работодателем, в отношении которого действует Соглашение, не может быть ниже размера, установленного пунктом 1.1 Соглашения, при условии, что работником полностью отработана за этот период норма рабочего времени и выполнены нормы труда (трудовые обязанности). </w:t>
      </w:r>
    </w:p>
    <w:p w:rsidR="008868E2" w:rsidRDefault="008868E2" w:rsidP="008868E2">
      <w:pPr>
        <w:ind w:left="15" w:firstLine="537"/>
        <w:jc w:val="both"/>
        <w:rPr>
          <w:rFonts w:ascii="Times New Roman" w:hAnsi="Times New Roman"/>
        </w:rPr>
      </w:pPr>
      <w:r>
        <w:rPr>
          <w:rFonts w:ascii="Times New Roman" w:hAnsi="Times New Roman"/>
        </w:rPr>
        <w:t xml:space="preserve">Согласно ст. 144 ТК РФ системы оплаты труда работников государственных и муниципальных учреждений устанавливаются с учетом государственных гарантий по оплате труда, </w:t>
      </w:r>
      <w:hyperlink r:id="rId6" w:history="1">
        <w:r>
          <w:rPr>
            <w:rFonts w:ascii="Times New Roman" w:hAnsi="Times New Roman"/>
          </w:rPr>
          <w:t>рекомендаций</w:t>
        </w:r>
      </w:hyperlink>
      <w:r>
        <w:rPr>
          <w:rFonts w:ascii="Times New Roman" w:hAnsi="Times New Roman"/>
        </w:rPr>
        <w:t xml:space="preserve">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 ГБУЗ ЯНАО “</w:t>
      </w:r>
      <w:proofErr w:type="spellStart"/>
      <w:r>
        <w:rPr>
          <w:rFonts w:ascii="Times New Roman" w:hAnsi="Times New Roman"/>
        </w:rPr>
        <w:t>Лабытнангская</w:t>
      </w:r>
      <w:proofErr w:type="spellEnd"/>
      <w:r>
        <w:rPr>
          <w:rFonts w:ascii="Times New Roman" w:hAnsi="Times New Roman"/>
        </w:rPr>
        <w:t xml:space="preserve"> городская больница”, являясь государственным учреждением субъекта Российской Федерации, систему оплаты труда устанавливает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Данной статьей также установлено, что 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w:t>
      </w:r>
      <w:proofErr w:type="gramStart"/>
      <w:r>
        <w:rPr>
          <w:rFonts w:ascii="Times New Roman" w:hAnsi="Times New Roman"/>
        </w:rPr>
        <w:t>базовых ставок заработной платы</w:t>
      </w:r>
      <w:proofErr w:type="gramEnd"/>
      <w:r>
        <w:rPr>
          <w:rFonts w:ascii="Times New Roman" w:hAnsi="Times New Roman"/>
        </w:rPr>
        <w:t xml:space="preserve"> соответствующих профессиональных квалификационных групп. </w:t>
      </w:r>
    </w:p>
    <w:p w:rsidR="008868E2" w:rsidRDefault="008868E2" w:rsidP="008868E2">
      <w:pPr>
        <w:ind w:left="15" w:firstLine="537"/>
        <w:jc w:val="both"/>
        <w:rPr>
          <w:rFonts w:ascii="Times New Roman" w:hAnsi="Times New Roman"/>
        </w:rPr>
      </w:pPr>
      <w:r>
        <w:rPr>
          <w:rFonts w:ascii="Times New Roman" w:hAnsi="Times New Roman"/>
        </w:rPr>
        <w:t>Помимо этого, анализ Постановлений Ямало-Ненецкого автономного округа “Об индексации”, принимавшихся в последние годы, также подтверждает нашу правоту в отношении механизма индексации - индексации подлежат окладные части наших заработных плат.</w:t>
      </w:r>
    </w:p>
    <w:p w:rsidR="008868E2" w:rsidRDefault="008868E2" w:rsidP="008868E2">
      <w:pPr>
        <w:tabs>
          <w:tab w:val="left" w:pos="1238"/>
        </w:tabs>
        <w:ind w:firstLine="550"/>
        <w:jc w:val="both"/>
        <w:rPr>
          <w:rFonts w:ascii="Times New Roman" w:hAnsi="Times New Roman"/>
        </w:rPr>
      </w:pPr>
      <w:r>
        <w:rPr>
          <w:rFonts w:ascii="Times New Roman" w:hAnsi="Times New Roman"/>
        </w:rPr>
        <w:t xml:space="preserve">В Ямало-Ненецком автономном округе основополагающим нормативным актом, регламентирующим и устанавливающим общие требования к разработке и установлению систем оплаты труда в </w:t>
      </w:r>
      <w:proofErr w:type="gramStart"/>
      <w:r>
        <w:rPr>
          <w:rFonts w:ascii="Times New Roman" w:hAnsi="Times New Roman"/>
        </w:rPr>
        <w:t>государственных учреждений Ямало-Ненецкого автономного округа</w:t>
      </w:r>
      <w:proofErr w:type="gramEnd"/>
      <w:r>
        <w:rPr>
          <w:rFonts w:ascii="Times New Roman" w:hAnsi="Times New Roman"/>
        </w:rPr>
        <w:t xml:space="preserve"> является Постановление Правительства ЯНАО от 16.12.2014 г. №1020-П “О совершенствовании систем оплаты труда работников государственных учреждений Ямало-Ненецкого автономного округа”. Пунктом 2.6 установлено, что повышение окладов производится в соответствии с постановлениями Правительства автономного округа. </w:t>
      </w:r>
    </w:p>
    <w:p w:rsidR="008868E2" w:rsidRDefault="008868E2" w:rsidP="008868E2">
      <w:pPr>
        <w:tabs>
          <w:tab w:val="left" w:pos="1238"/>
        </w:tabs>
        <w:ind w:firstLine="575"/>
        <w:jc w:val="both"/>
        <w:rPr>
          <w:rFonts w:ascii="Times New Roman" w:hAnsi="Times New Roman"/>
        </w:rPr>
      </w:pPr>
      <w:r>
        <w:rPr>
          <w:rFonts w:ascii="Times New Roman" w:hAnsi="Times New Roman"/>
        </w:rPr>
        <w:t xml:space="preserve">Следуя вносимым изменениям в нормативно-правовое регулирование Российской Федерации, касающихся установления уровня МРОТ, Правительство ЯНАО Постановлением №861-П от 16.11.2024 г. внесло изменения в приложение №5 к Положению об установлении систем оплаты труда работников государственных учреждения ЯНАО, утвержденного Постановлением №1020-П от 16.12.2014 г. При этом определило, что, в первую очередь, увеличение размеров окладов производится за счет дополнительно доведенных бюджетных ассигнований, а затем за счет реструктуризации заработной платы путем перераспределения стимулирующей части заработной платы в окладную. Согласно п.4 Постановление вступило в силу, как и положено, с 01.01.2024 г.  </w:t>
      </w:r>
    </w:p>
    <w:p w:rsidR="008868E2" w:rsidRDefault="008868E2" w:rsidP="008868E2">
      <w:pPr>
        <w:tabs>
          <w:tab w:val="left" w:pos="1238"/>
        </w:tabs>
        <w:ind w:firstLine="575"/>
        <w:jc w:val="both"/>
        <w:rPr>
          <w:rFonts w:ascii="Times New Roman" w:hAnsi="Times New Roman"/>
        </w:rPr>
      </w:pPr>
      <w:r>
        <w:rPr>
          <w:rFonts w:ascii="Times New Roman" w:hAnsi="Times New Roman"/>
        </w:rPr>
        <w:t xml:space="preserve">Игнорируя вышеуказанные нормы, а также содержание статьи 144 ТК РФ, гласящее, что 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w:t>
      </w:r>
      <w:r>
        <w:rPr>
          <w:rFonts w:ascii="Times New Roman" w:hAnsi="Times New Roman"/>
        </w:rPr>
        <w:lastRenderedPageBreak/>
        <w:t xml:space="preserve">квалификационных групп, Департамент здравоохранения ЯНАО письмом №89-18/01-06/17040 от 29.11.2023 г. (Приложение №1) довел до сведения ГБУЗ ЯНАО “ЛГБ” информацию о вносимых изменениях, при этом указав, что Учреждение при составлении тарификации на 01.01.2024 г. должно применять должностные оклады, установленные неактуальным к тому времени Постановлением Правительства ЯНАО №638-П от 11.08.2023 г., вступившим в силу 01.10.2023 г. </w:t>
      </w:r>
    </w:p>
    <w:p w:rsidR="008868E2" w:rsidRDefault="008868E2" w:rsidP="008868E2">
      <w:pPr>
        <w:tabs>
          <w:tab w:val="left" w:pos="1238"/>
        </w:tabs>
        <w:ind w:firstLine="562"/>
        <w:jc w:val="both"/>
        <w:rPr>
          <w:rFonts w:ascii="Times New Roman" w:hAnsi="Times New Roman"/>
        </w:rPr>
      </w:pPr>
      <w:r>
        <w:rPr>
          <w:rFonts w:ascii="Times New Roman" w:hAnsi="Times New Roman"/>
        </w:rPr>
        <w:t>Далее сославшись на некорректный номер Постановления Правительства ЯНАО об Отраслевом положении об оплате труда работников государственных медицинских организаций, подведомственных Департаменту здравоохранения от 29.12.2016 г. (1226-П вместо корректного 1269-П) Департамент сообщил о проводимой работе по внесению изменений в Отраслевое положение.</w:t>
      </w:r>
    </w:p>
    <w:p w:rsidR="008868E2" w:rsidRDefault="008868E2" w:rsidP="008868E2">
      <w:pPr>
        <w:tabs>
          <w:tab w:val="left" w:pos="1238"/>
        </w:tabs>
        <w:ind w:firstLine="537"/>
        <w:jc w:val="both"/>
        <w:rPr>
          <w:rFonts w:ascii="Times New Roman" w:hAnsi="Times New Roman"/>
        </w:rPr>
      </w:pPr>
      <w:r>
        <w:rPr>
          <w:rFonts w:ascii="Times New Roman" w:hAnsi="Times New Roman"/>
        </w:rPr>
        <w:t xml:space="preserve">Внесенные изменения в Отраслевое положение об оплате труда работников государственных медицинских организаций, подведомственных департаменту здравоохранения ЯНАО, были утверждены Постановлением Правительства ЯНАО №164-П только 10.04.2024 г. При этом указано, что п. 6,9 вступают в силу с 01.10.2023 г. Департамент здравоохранения ЯНАО почему-то посчитал, что оклады, действовавшие с период с 01.10.2023 по 31.12.2023 г., имеют обратную силу, а актуальные с 01.01.2024 г. оклады - нет. Таким образом Департаменту здравоохранения ЯНАО несмотря на наличие жалоб сотрудников, потребовалось почти полгода на то, чтоб внести изменения и разрешить Учреждению применять новые оклады и новую систему оплаты труда. </w:t>
      </w:r>
    </w:p>
    <w:p w:rsidR="008868E2" w:rsidRDefault="008868E2" w:rsidP="008868E2">
      <w:pPr>
        <w:tabs>
          <w:tab w:val="left" w:pos="1238"/>
        </w:tabs>
        <w:ind w:firstLine="537"/>
        <w:jc w:val="both"/>
        <w:rPr>
          <w:rFonts w:ascii="Times New Roman" w:hAnsi="Times New Roman"/>
        </w:rPr>
      </w:pPr>
      <w:r>
        <w:rPr>
          <w:rFonts w:ascii="Times New Roman" w:hAnsi="Times New Roman"/>
        </w:rPr>
        <w:t>Приказом Учреждения №216 от 16.04.2024 г. были внесены изменения в Положение об оплате труда работников ГБУЗ ЯНАО “ЛГБ”, утвержденное Приказом №750 от 30.11.2020 г. Со сроком вступления в силу всех изменений - 1 июля 2024 г.</w:t>
      </w:r>
    </w:p>
    <w:p w:rsidR="008868E2" w:rsidRDefault="008868E2" w:rsidP="008868E2">
      <w:pPr>
        <w:tabs>
          <w:tab w:val="left" w:pos="1238"/>
        </w:tabs>
        <w:ind w:firstLine="562"/>
        <w:jc w:val="both"/>
        <w:rPr>
          <w:rFonts w:ascii="Times New Roman" w:hAnsi="Times New Roman"/>
        </w:rPr>
      </w:pPr>
      <w:r>
        <w:rPr>
          <w:rFonts w:ascii="Times New Roman" w:hAnsi="Times New Roman"/>
        </w:rPr>
        <w:t xml:space="preserve">Учитывая порядок и сроки, установленные Трудовым законодательством Российской Федерации, уведомления работников о предстоящих изменениях условий оплаты труда, в конце апреля 2024 г. сотрудникам были направлены уведомления о внесении в трудовые договоры, заключенные с Учреждением, изменений, связанных с системой оплаты труда. С нашего согласия увеличение окладов произошло с 1 мая 2024 г., так как на выбор предлагалось всего три варианта: </w:t>
      </w:r>
    </w:p>
    <w:p w:rsidR="008868E2" w:rsidRDefault="008868E2" w:rsidP="008868E2">
      <w:pPr>
        <w:numPr>
          <w:ilvl w:val="0"/>
          <w:numId w:val="2"/>
        </w:numPr>
        <w:tabs>
          <w:tab w:val="left" w:pos="1238"/>
        </w:tabs>
        <w:jc w:val="both"/>
        <w:rPr>
          <w:rFonts w:ascii="Times New Roman" w:hAnsi="Times New Roman"/>
        </w:rPr>
      </w:pPr>
      <w:r>
        <w:rPr>
          <w:rFonts w:ascii="Times New Roman" w:hAnsi="Times New Roman"/>
        </w:rPr>
        <w:t>увеличение с 1 мая 2024 г.;</w:t>
      </w:r>
    </w:p>
    <w:p w:rsidR="008868E2" w:rsidRDefault="008868E2" w:rsidP="008868E2">
      <w:pPr>
        <w:numPr>
          <w:ilvl w:val="0"/>
          <w:numId w:val="2"/>
        </w:numPr>
        <w:tabs>
          <w:tab w:val="left" w:pos="1238"/>
        </w:tabs>
        <w:jc w:val="both"/>
        <w:rPr>
          <w:rFonts w:ascii="Times New Roman" w:hAnsi="Times New Roman"/>
        </w:rPr>
      </w:pPr>
      <w:r>
        <w:rPr>
          <w:rFonts w:ascii="Times New Roman" w:hAnsi="Times New Roman"/>
        </w:rPr>
        <w:t>увеличение с 1 июля 2024 г.;</w:t>
      </w:r>
    </w:p>
    <w:p w:rsidR="008868E2" w:rsidRDefault="008868E2" w:rsidP="008868E2">
      <w:pPr>
        <w:numPr>
          <w:ilvl w:val="0"/>
          <w:numId w:val="2"/>
        </w:numPr>
        <w:tabs>
          <w:tab w:val="left" w:pos="1238"/>
        </w:tabs>
        <w:jc w:val="both"/>
        <w:rPr>
          <w:rFonts w:ascii="Times New Roman" w:hAnsi="Times New Roman"/>
        </w:rPr>
      </w:pPr>
      <w:r>
        <w:rPr>
          <w:rFonts w:ascii="Times New Roman" w:hAnsi="Times New Roman"/>
        </w:rPr>
        <w:t>расторжение трудового договора по основаниям, предусмотренным ст. 74 ТК РФ.</w:t>
      </w:r>
    </w:p>
    <w:p w:rsidR="008868E2" w:rsidRDefault="008868E2" w:rsidP="008868E2">
      <w:pPr>
        <w:tabs>
          <w:tab w:val="left" w:pos="1238"/>
        </w:tabs>
        <w:ind w:firstLine="562"/>
        <w:jc w:val="both"/>
        <w:rPr>
          <w:rFonts w:ascii="Times New Roman" w:hAnsi="Times New Roman"/>
        </w:rPr>
      </w:pPr>
      <w:r>
        <w:rPr>
          <w:rFonts w:ascii="Times New Roman" w:hAnsi="Times New Roman"/>
        </w:rPr>
        <w:t xml:space="preserve">Одной из сотрудниц был направлен запрос в Государственную инспекцию труда в ЯНАО, которая проанализировала правильно ли в данном случае поступил работодатель, и сообщила, что определение дат вносимых изменений в части изменения условий труда возможно в судебном порядке (Приложение №2). Анализ сложившейся ситуации в части соответствия нормативного правового регулирования субъекта Российской Федерации федеральному законодательству Инспекцией труда ЯНАО не проводился. Мы считаем, что именно на этом уровне имеется факт нарушения. </w:t>
      </w:r>
    </w:p>
    <w:p w:rsidR="008868E2" w:rsidRDefault="008868E2" w:rsidP="008868E2">
      <w:pPr>
        <w:tabs>
          <w:tab w:val="left" w:pos="1238"/>
        </w:tabs>
        <w:ind w:firstLine="562"/>
        <w:jc w:val="both"/>
        <w:rPr>
          <w:rFonts w:ascii="Times New Roman" w:hAnsi="Times New Roman"/>
        </w:rPr>
      </w:pPr>
      <w:r>
        <w:rPr>
          <w:rFonts w:ascii="Times New Roman" w:hAnsi="Times New Roman"/>
        </w:rPr>
        <w:t xml:space="preserve">В связи с изложенным, противореча всем нормам действующего законодательства, на протяжении четырех месяцев (в период с января по апрель 2024 г.) в Учреждении некоторые категории сотрудников получали заработную плату в размере ниже установленного размера МРОТ, об установленных доплатах, целью которых являлось компенсировать разрыв между действующим окладом и уровнем МРОТ,  нам неизвестно, кроме того, абсолютно все сотрудники получали окладную часть заработной платы ниже установленных Правительством Российской Федерации </w:t>
      </w:r>
      <w:r>
        <w:rPr>
          <w:rFonts w:ascii="Times New Roman" w:hAnsi="Times New Roman"/>
        </w:rPr>
        <w:lastRenderedPageBreak/>
        <w:t xml:space="preserve">базовых окладов (базовых должностных окладов), базовых ставок заработной платы соответствующих профессиональных квалификационных групп. </w:t>
      </w:r>
    </w:p>
    <w:p w:rsidR="008868E2" w:rsidRDefault="008868E2" w:rsidP="008868E2">
      <w:pPr>
        <w:tabs>
          <w:tab w:val="left" w:pos="1238"/>
        </w:tabs>
        <w:ind w:firstLine="562"/>
        <w:jc w:val="both"/>
        <w:rPr>
          <w:rFonts w:ascii="Times New Roman" w:hAnsi="Times New Roman"/>
        </w:rPr>
      </w:pPr>
      <w:r>
        <w:rPr>
          <w:rFonts w:ascii="Times New Roman" w:hAnsi="Times New Roman"/>
        </w:rPr>
        <w:t xml:space="preserve">Помимо этого, в период с января по март 2024 г. всем сотрудникам Учреждения была снижена надбавка за интенсивность труда. Департамент здравоохранения ЯНАО проигнорировал такой источник финансирования повышения окладов как дополнительно доведенные бюджетные ассигнования (по крайней мере нигде в своих ответах он на это не ссылается), а процедура перераспределения стимулирующей части в структуре заработной платы в окладную проведена некорректно. </w:t>
      </w:r>
    </w:p>
    <w:p w:rsidR="008868E2" w:rsidRDefault="008868E2" w:rsidP="008868E2">
      <w:pPr>
        <w:tabs>
          <w:tab w:val="left" w:pos="1238"/>
        </w:tabs>
        <w:ind w:firstLine="562"/>
        <w:jc w:val="both"/>
        <w:rPr>
          <w:rFonts w:ascii="Times New Roman" w:hAnsi="Times New Roman"/>
        </w:rPr>
      </w:pPr>
      <w:r>
        <w:rPr>
          <w:rFonts w:ascii="Times New Roman" w:hAnsi="Times New Roman"/>
        </w:rPr>
        <w:t xml:space="preserve">В нашем понимании снижение стимулирующей части заработной платы должно было быть произведено одновременно с увеличением окладной и не предполагало, что сначала сотрудники недополучат стимулирующие, а спустя только четыре месяца получат повышенный оклад. </w:t>
      </w:r>
    </w:p>
    <w:p w:rsidR="008868E2" w:rsidRDefault="008868E2" w:rsidP="008868E2">
      <w:pPr>
        <w:tabs>
          <w:tab w:val="left" w:pos="1238"/>
        </w:tabs>
        <w:ind w:firstLine="562"/>
        <w:jc w:val="both"/>
        <w:rPr>
          <w:rFonts w:ascii="Times New Roman" w:hAnsi="Times New Roman"/>
        </w:rPr>
      </w:pPr>
      <w:r>
        <w:rPr>
          <w:rFonts w:ascii="Times New Roman" w:hAnsi="Times New Roman"/>
        </w:rPr>
        <w:t xml:space="preserve">В одном из своих ответов Департамент здравоохранения ЯНАО обещал пересчитать заработную плату, учитывая новые оклады, начиная с 1 января 2024 г. (Приложение №3). На дату написания данного обращения (11.06.2024 г.) от Департамента здравоохранения, несмотря на наличие множественных недовольств сотрудников, о которых ему известно, не поступило предложений по возмещению сотрудникам недополученных в период с января по апрель 2024 г. денежных средств. Куда, в итоге, делись наши недополученные деньги - нам непонятно. </w:t>
      </w:r>
    </w:p>
    <w:p w:rsidR="008868E2" w:rsidRDefault="008868E2" w:rsidP="008868E2">
      <w:pPr>
        <w:tabs>
          <w:tab w:val="left" w:pos="1238"/>
        </w:tabs>
        <w:ind w:firstLine="562"/>
        <w:jc w:val="both"/>
        <w:rPr>
          <w:rFonts w:ascii="Times New Roman" w:hAnsi="Times New Roman"/>
        </w:rPr>
      </w:pPr>
      <w:r>
        <w:rPr>
          <w:rFonts w:ascii="Times New Roman" w:hAnsi="Times New Roman"/>
        </w:rPr>
        <w:t xml:space="preserve">Кроме того, он запретил Учреждению пересчитывать в период с января по март 2024 г. надбавку за интенсивность труда, аргументируя это так: “ну, Вы понимаете, что за это время пересчет зарплаты с целью осуществления возмещения приведет к тому, что сотрудникам единовременно будут выплачены огромные суммы, а у сотрудников Государственного автономного учреждения “Дирекция по финансированию и материально-техническому оснащению учреждений в сфере здравоохранения”, осуществляющего бухгалтерско-экономическое обслуживание ГБУЗ ЯНАО “ЛГБ” с 01.01.2023 г., появится много дополнительной работы”. </w:t>
      </w:r>
    </w:p>
    <w:p w:rsidR="008868E2" w:rsidRDefault="008868E2" w:rsidP="008868E2">
      <w:pPr>
        <w:tabs>
          <w:tab w:val="left" w:pos="1238"/>
        </w:tabs>
        <w:ind w:firstLine="562"/>
        <w:jc w:val="both"/>
        <w:rPr>
          <w:rFonts w:ascii="Times New Roman" w:hAnsi="Times New Roman"/>
        </w:rPr>
      </w:pPr>
      <w:r>
        <w:rPr>
          <w:rFonts w:ascii="Times New Roman" w:hAnsi="Times New Roman"/>
        </w:rPr>
        <w:t xml:space="preserve">Департамент здравоохранения утверждает, что увеличение окладов стало возможным именно благодаря такой манипуляции с заработной платой сотрудников. Более того, в своем ответе, противореча самому себе и фактически сложившейся ситуации, утверждал публично, что оклады увеличены с 1 апреля 2024 г. </w:t>
      </w:r>
    </w:p>
    <w:p w:rsidR="008868E2" w:rsidRDefault="008868E2" w:rsidP="008868E2">
      <w:pPr>
        <w:ind w:left="15" w:firstLine="562"/>
        <w:jc w:val="both"/>
        <w:rPr>
          <w:rFonts w:ascii="Times New Roman" w:hAnsi="Times New Roman"/>
        </w:rPr>
      </w:pPr>
      <w:r>
        <w:rPr>
          <w:rFonts w:ascii="Times New Roman" w:hAnsi="Times New Roman"/>
        </w:rPr>
        <w:t xml:space="preserve">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2024 год, утвержденных решением Российской трехсторонней комиссии по регулированию социально-трудовых отношений от 22 декабря 2023 г., прописано, что система оплаты труда работников государственных и муниципальных учреждений на федеральном, региональном и муниципальном уровнях формируются на основе принципа обеспечения повышения уровня реального содержания заработной платы работников государственных и муниципальных учреждений, в том числе: </w:t>
      </w:r>
    </w:p>
    <w:p w:rsidR="008868E2" w:rsidRDefault="008868E2" w:rsidP="008868E2">
      <w:pPr>
        <w:ind w:left="15" w:firstLine="562"/>
        <w:jc w:val="both"/>
        <w:rPr>
          <w:rFonts w:ascii="Times New Roman" w:hAnsi="Times New Roman"/>
        </w:rPr>
      </w:pPr>
      <w:r>
        <w:rPr>
          <w:rFonts w:ascii="Times New Roman" w:hAnsi="Times New Roman"/>
        </w:rPr>
        <w:t xml:space="preserve">- посредством индексации в соответствии с трудовым законодательством Российской Федерации, в том числе в связи с ростом потребительских цен на товары и услуги; не допускать снижения уровня заработной платы работников государственных и муниципальных учреждений, достигнутого в 2023 году; </w:t>
      </w:r>
    </w:p>
    <w:p w:rsidR="008868E2" w:rsidRDefault="008868E2" w:rsidP="008868E2">
      <w:pPr>
        <w:numPr>
          <w:ilvl w:val="0"/>
          <w:numId w:val="1"/>
        </w:numPr>
        <w:tabs>
          <w:tab w:val="left" w:pos="1238"/>
        </w:tabs>
        <w:ind w:left="-16" w:firstLine="577"/>
        <w:jc w:val="both"/>
        <w:rPr>
          <w:rFonts w:ascii="Times New Roman" w:hAnsi="Times New Roman"/>
        </w:rPr>
      </w:pPr>
      <w:r>
        <w:rPr>
          <w:rFonts w:ascii="Times New Roman" w:hAnsi="Times New Roman"/>
        </w:rPr>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w:t>
      </w:r>
      <w:r>
        <w:rPr>
          <w:rFonts w:ascii="Times New Roman" w:hAnsi="Times New Roman"/>
        </w:rPr>
        <w:lastRenderedPageBreak/>
        <w:t xml:space="preserve">надбавки), установленные работнику до индексации в процентном соотношении от должностного оклада (тарифных ставок), не снижаются в абсолютном размере. </w:t>
      </w:r>
    </w:p>
    <w:p w:rsidR="008868E2" w:rsidRDefault="008868E2" w:rsidP="008868E2">
      <w:pPr>
        <w:ind w:left="15" w:firstLine="562"/>
        <w:jc w:val="both"/>
        <w:rPr>
          <w:rFonts w:ascii="Times New Roman" w:hAnsi="Times New Roman"/>
        </w:rPr>
      </w:pPr>
      <w:r>
        <w:rPr>
          <w:rFonts w:ascii="Times New Roman" w:hAnsi="Times New Roman"/>
        </w:rPr>
        <w:t xml:space="preserve">Кроме того, Постановлением Правительства ЯНАО №861-П от 16.11.2023 г. определено заменить стимулирующие выплаты, начисляемые в процентах к окладу на денежный эквивалент. Эквивалентность в данном случае предполагает равноценность. Фактически же, например, надбавка за выслугу лет у некоторых сотрудников стала меньше, чем была ранее. </w:t>
      </w:r>
    </w:p>
    <w:p w:rsidR="008868E2" w:rsidRDefault="008868E2" w:rsidP="008868E2">
      <w:pPr>
        <w:ind w:left="15" w:firstLine="562"/>
        <w:jc w:val="both"/>
        <w:rPr>
          <w:rFonts w:ascii="Times New Roman" w:hAnsi="Times New Roman"/>
        </w:rPr>
      </w:pPr>
      <w:r>
        <w:rPr>
          <w:rFonts w:ascii="Times New Roman" w:hAnsi="Times New Roman"/>
        </w:rPr>
        <w:t xml:space="preserve">Помимо этого, сотрудники ГБУЗ ЯНАО “ЛГБ” по итогам мая 2024 г. столкнулись со следующим. </w:t>
      </w:r>
    </w:p>
    <w:p w:rsidR="008868E2" w:rsidRDefault="008868E2" w:rsidP="008868E2">
      <w:pPr>
        <w:ind w:left="15" w:firstLine="562"/>
        <w:jc w:val="both"/>
        <w:rPr>
          <w:rFonts w:ascii="Times New Roman" w:hAnsi="Times New Roman"/>
        </w:rPr>
      </w:pPr>
      <w:r>
        <w:rPr>
          <w:rFonts w:ascii="Times New Roman" w:hAnsi="Times New Roman"/>
        </w:rPr>
        <w:t xml:space="preserve">С 22.05.2024 г. в Учреждении сменился главный врач. С 22.05.2024 г. Действующим руководителем ГБУЗ ЯНАО “ЛГБ” стала </w:t>
      </w:r>
      <w:proofErr w:type="spellStart"/>
      <w:r>
        <w:rPr>
          <w:rFonts w:ascii="Times New Roman" w:hAnsi="Times New Roman"/>
        </w:rPr>
        <w:t>Латыпова</w:t>
      </w:r>
      <w:proofErr w:type="spellEnd"/>
      <w:r>
        <w:rPr>
          <w:rFonts w:ascii="Times New Roman" w:hAnsi="Times New Roman"/>
        </w:rPr>
        <w:t xml:space="preserve"> Алина </w:t>
      </w:r>
      <w:proofErr w:type="spellStart"/>
      <w:r>
        <w:rPr>
          <w:rFonts w:ascii="Times New Roman" w:hAnsi="Times New Roman"/>
        </w:rPr>
        <w:t>Фаиловна</w:t>
      </w:r>
      <w:proofErr w:type="spellEnd"/>
      <w:r>
        <w:rPr>
          <w:rFonts w:ascii="Times New Roman" w:hAnsi="Times New Roman"/>
        </w:rPr>
        <w:t xml:space="preserve">. 03.06.2024 г. сотрудникам стало известно о том, что главным врачом была вовсе отменена надбавка за интенсивность труда и отменена премия по итогам работы в 1 квартале 2024 г. Официальных комментариев на этот счет Алина </w:t>
      </w:r>
      <w:proofErr w:type="spellStart"/>
      <w:r>
        <w:rPr>
          <w:rFonts w:ascii="Times New Roman" w:hAnsi="Times New Roman"/>
        </w:rPr>
        <w:t>Фаиловна</w:t>
      </w:r>
      <w:proofErr w:type="spellEnd"/>
      <w:r>
        <w:rPr>
          <w:rFonts w:ascii="Times New Roman" w:hAnsi="Times New Roman"/>
        </w:rPr>
        <w:t xml:space="preserve"> не дала, сославшись на то, что Департамента здравоохранения ЯНАО уже давал ответ на этот вопрос, который звучал следующим образом: премии и надбавки за интенсивность труда не носят обязательного характера и устанавливаются с учетом выполнения показателей эффективности деятельности конкретного учреждения и исходя из финансовых возможностей медицинского учреждения, то есть объема финансов, заработанных учреждением за отчетный период (Приложение №4). К слову говоря, там же он пишет о том, что оклады увеличены с 1 апреля, хотя фактически увеличение произошло с 1 мая 2024 г.</w:t>
      </w:r>
    </w:p>
    <w:p w:rsidR="008868E2" w:rsidRDefault="008868E2" w:rsidP="008868E2">
      <w:pPr>
        <w:ind w:firstLine="570"/>
        <w:jc w:val="both"/>
        <w:rPr>
          <w:rFonts w:ascii="Times New Roman" w:hAnsi="Times New Roman"/>
        </w:rPr>
      </w:pPr>
      <w:r>
        <w:rPr>
          <w:rFonts w:ascii="Times New Roman" w:hAnsi="Times New Roman"/>
        </w:rPr>
        <w:t xml:space="preserve">Согласно ст. 129 ТК РФ заработная плата (оплата труда работника) - вознаграждение за труд,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w:t>
      </w:r>
    </w:p>
    <w:p w:rsidR="008868E2" w:rsidRDefault="008868E2" w:rsidP="008868E2">
      <w:pPr>
        <w:ind w:firstLine="570"/>
        <w:jc w:val="both"/>
        <w:rPr>
          <w:rFonts w:ascii="Times New Roman" w:hAnsi="Times New Roman"/>
        </w:rPr>
      </w:pPr>
      <w:r>
        <w:rPr>
          <w:rFonts w:ascii="Times New Roman" w:hAnsi="Times New Roman"/>
        </w:rPr>
        <w:t xml:space="preserve">Согласно ст. 132 ТК РФ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законодательством. </w:t>
      </w:r>
    </w:p>
    <w:p w:rsidR="008868E2" w:rsidRDefault="008868E2" w:rsidP="008868E2">
      <w:pPr>
        <w:ind w:left="15" w:firstLine="562"/>
        <w:jc w:val="both"/>
        <w:rPr>
          <w:rFonts w:ascii="Times New Roman" w:hAnsi="Times New Roman"/>
        </w:rPr>
      </w:pPr>
      <w:r>
        <w:rPr>
          <w:rFonts w:ascii="Times New Roman" w:hAnsi="Times New Roman"/>
        </w:rPr>
        <w:t xml:space="preserve">Из смысла данных статей вытекает, что уровень наших заработных плат, состоящих согласно </w:t>
      </w:r>
      <w:proofErr w:type="gramStart"/>
      <w:r>
        <w:rPr>
          <w:rFonts w:ascii="Times New Roman" w:hAnsi="Times New Roman"/>
        </w:rPr>
        <w:t>законодательству</w:t>
      </w:r>
      <w:proofErr w:type="gramEnd"/>
      <w:r>
        <w:rPr>
          <w:rFonts w:ascii="Times New Roman" w:hAnsi="Times New Roman"/>
        </w:rPr>
        <w:t xml:space="preserve"> из трех обязательных элементов, не коррелирует ни с одним из названных Департаментом показателей. </w:t>
      </w:r>
    </w:p>
    <w:p w:rsidR="008868E2" w:rsidRDefault="008868E2" w:rsidP="008868E2">
      <w:pPr>
        <w:ind w:firstLine="570"/>
        <w:jc w:val="both"/>
        <w:rPr>
          <w:rFonts w:ascii="Times New Roman" w:hAnsi="Times New Roman"/>
        </w:rPr>
      </w:pPr>
      <w:r>
        <w:rPr>
          <w:rFonts w:ascii="Times New Roman" w:hAnsi="Times New Roman"/>
        </w:rPr>
        <w:t>Согласно ст. 144 ТК РФ системы оплаты труда (в том числе тарифные системы оплаты труда) в государственных учреждениях субъектов Российской Федерации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868E2" w:rsidRDefault="008868E2" w:rsidP="008868E2">
      <w:pPr>
        <w:ind w:firstLine="570"/>
        <w:jc w:val="both"/>
        <w:rPr>
          <w:rFonts w:ascii="Times New Roman" w:hAnsi="Times New Roman"/>
        </w:rPr>
      </w:pPr>
      <w:r>
        <w:rPr>
          <w:rFonts w:ascii="Times New Roman" w:hAnsi="Times New Roman"/>
        </w:rPr>
        <w:t xml:space="preserve">Исходя из это в своих суждениях о законности или незаконности отмены надбавки и премии мы должны ссылаться помимо Трудового кодека РФ, еще и на нормативно-правовую базу ЯНАО, в основе которой стоят: Постановление Правительства ЯНАО №1020-П от 16.12.2014 г. “О совершенствовании систем оплаты труда работников государственных учреждений ЯНАО”, Постановление Правительства ЯНАО №1269-П от 29.12.2016 г. “Об утверждении отраслевого положения об оплате труда работников государственных медицинских организаций, </w:t>
      </w:r>
      <w:r>
        <w:rPr>
          <w:rFonts w:ascii="Times New Roman" w:hAnsi="Times New Roman"/>
        </w:rPr>
        <w:lastRenderedPageBreak/>
        <w:t xml:space="preserve">подведомственных Департаменту здравоохранения ЯНАО”, Положение об оплате труда работников ГБУЗ ЯНАО “ЛГБ, утвержденное Приказом учреждения от 30.11.2020 г. №750. </w:t>
      </w:r>
    </w:p>
    <w:p w:rsidR="008868E2" w:rsidRDefault="008868E2" w:rsidP="008868E2">
      <w:pPr>
        <w:ind w:firstLine="570"/>
        <w:jc w:val="both"/>
        <w:rPr>
          <w:rFonts w:ascii="Times New Roman" w:hAnsi="Times New Roman"/>
        </w:rPr>
      </w:pPr>
      <w:r>
        <w:rPr>
          <w:rFonts w:ascii="Times New Roman" w:hAnsi="Times New Roman"/>
        </w:rPr>
        <w:t xml:space="preserve">Постановление Правительства ЯНАО №1020-П имеет рамочных характер, конкретные выплаты предусмотрены Отраслевым положением об оплате труда и Положением об оплате труда сотрудников ГБУЗ ЯНАО “ЛГБ”. </w:t>
      </w:r>
    </w:p>
    <w:p w:rsidR="008868E2" w:rsidRDefault="008868E2" w:rsidP="008868E2">
      <w:pPr>
        <w:ind w:firstLine="570"/>
        <w:jc w:val="both"/>
        <w:rPr>
          <w:rFonts w:ascii="Times New Roman" w:hAnsi="Times New Roman"/>
        </w:rPr>
      </w:pPr>
      <w:r>
        <w:rPr>
          <w:rFonts w:ascii="Times New Roman" w:hAnsi="Times New Roman"/>
        </w:rPr>
        <w:t xml:space="preserve">В своих суждениях Департамент здравоохранения ЯНАО ссылается на идею о том, что надбавка за интенсивность труда не является обязательной. Мы же отметим, что данная стимулирующая выплата не является гарантированной согласно ст. 130 ТК РФ, но согласно ст. 129 ТК РФ является ее обязательным элементом, </w:t>
      </w:r>
      <w:proofErr w:type="gramStart"/>
      <w:r>
        <w:rPr>
          <w:rFonts w:ascii="Times New Roman" w:hAnsi="Times New Roman"/>
        </w:rPr>
        <w:t>ровно</w:t>
      </w:r>
      <w:proofErr w:type="gramEnd"/>
      <w:r>
        <w:rPr>
          <w:rFonts w:ascii="Times New Roman" w:hAnsi="Times New Roman"/>
        </w:rPr>
        <w:t xml:space="preserve"> как и компенсационные надбавки. Данные понятия не тождественны. </w:t>
      </w:r>
    </w:p>
    <w:p w:rsidR="008868E2" w:rsidRDefault="008868E2" w:rsidP="008868E2">
      <w:pPr>
        <w:ind w:firstLine="570"/>
        <w:jc w:val="both"/>
        <w:rPr>
          <w:rFonts w:ascii="Times New Roman" w:hAnsi="Times New Roman"/>
        </w:rPr>
      </w:pPr>
      <w:r>
        <w:rPr>
          <w:rFonts w:ascii="Times New Roman" w:hAnsi="Times New Roman"/>
        </w:rPr>
        <w:t>Пунктом 2.1 Отраслевого положения об оплате труда установлен аналогичный состав заработных плат. В п. 4.1 - 4.4 Отраслевого положения установлен порядок и условия осуществления выплат стимулирующего характера. Во избежание нарушения принципов объективности, предсказуемости, адекватности, своевременности и прозрачности там также не говорится о том, что соответствующие доплаты могут быть отменены по одному из вышеуказанных оснований.</w:t>
      </w:r>
    </w:p>
    <w:p w:rsidR="008868E2" w:rsidRDefault="008868E2" w:rsidP="008868E2">
      <w:pPr>
        <w:ind w:firstLine="570"/>
        <w:jc w:val="both"/>
        <w:rPr>
          <w:rFonts w:ascii="Times New Roman" w:hAnsi="Times New Roman"/>
        </w:rPr>
      </w:pPr>
      <w:r>
        <w:rPr>
          <w:rFonts w:ascii="Times New Roman" w:hAnsi="Times New Roman"/>
        </w:rPr>
        <w:t xml:space="preserve">П. 11 Отраслевого положения об оплате труда содержит перечень рекомендуемых и обязательных выплат стимулирующего характера, а также рекомендуемые размеры выплат. Что касается выплаты за интенсивность труда, то она имеет ежемесячную периодичность. Устанавливается она персонально в отношении каждого конкретного работника при условии выполнения им показателей и критериев эффективности деятельности. Перечень показателей также носит персональный характер. </w:t>
      </w:r>
    </w:p>
    <w:p w:rsidR="008868E2" w:rsidRDefault="008868E2" w:rsidP="008868E2">
      <w:pPr>
        <w:ind w:firstLine="570"/>
        <w:jc w:val="both"/>
        <w:rPr>
          <w:rFonts w:ascii="Times New Roman" w:hAnsi="Times New Roman"/>
        </w:rPr>
      </w:pPr>
      <w:r>
        <w:rPr>
          <w:rFonts w:ascii="Times New Roman" w:hAnsi="Times New Roman"/>
        </w:rPr>
        <w:t xml:space="preserve">Пунктом 4.3.1 Положения об оплате труда работников ГБУЗ ЯНАО “ЛГБ” установлен порядок и условия осуществления выплаты надбавки за интенсивность труда. С учетом внесенных Приказом Учреждения №216 от 16.04.2024 г. в Положение изменений перечень рекомендуемых и обязательных выплат стимулирующего характера, а также рекомендуемые размеры выплат стимулирующего характера работникам Учреждения определены в приложении N14. Указанное приложение по своему содержанию аналогично п.11 Отраслевого положения. Там же установлено, что надбавка за интенсивность труда осуществляется ежемесячно и не может превышать 200% должностного оклада. </w:t>
      </w:r>
    </w:p>
    <w:p w:rsidR="008868E2" w:rsidRDefault="008868E2" w:rsidP="008868E2">
      <w:pPr>
        <w:ind w:firstLine="570"/>
        <w:jc w:val="both"/>
        <w:rPr>
          <w:rFonts w:ascii="Times New Roman" w:hAnsi="Times New Roman"/>
        </w:rPr>
      </w:pPr>
      <w:r>
        <w:rPr>
          <w:rFonts w:ascii="Times New Roman" w:hAnsi="Times New Roman"/>
        </w:rPr>
        <w:t xml:space="preserve">Что касается премии по итогам работы, то она также имеет персональный характер и определяется, исходя из результатов деятельности конкретного работника, его личного вклада в работу структурного подразделения, в котором трудится, а также иных, понятных и описанных критериев и показателей. </w:t>
      </w:r>
    </w:p>
    <w:p w:rsidR="008868E2" w:rsidRDefault="008868E2" w:rsidP="008868E2">
      <w:pPr>
        <w:ind w:firstLine="570"/>
        <w:jc w:val="both"/>
        <w:rPr>
          <w:rFonts w:ascii="Times New Roman" w:hAnsi="Times New Roman"/>
        </w:rPr>
      </w:pPr>
      <w:r>
        <w:rPr>
          <w:rFonts w:ascii="Times New Roman" w:hAnsi="Times New Roman"/>
        </w:rPr>
        <w:t xml:space="preserve">Премирование работников производится по приказу руководителя Учреждения. Мы не знаем точного номера и даты приказа, но письмом №89-1857/01-05/2109 от 17.05.2024 г. Реестр на премию был направлен в ГАУ “Дирекция по финансированию и материально-техническому оснащению учреждений в сфере здравоохранения” для исполнения. Приказом </w:t>
      </w:r>
      <w:proofErr w:type="spellStart"/>
      <w:r>
        <w:rPr>
          <w:rFonts w:ascii="Times New Roman" w:hAnsi="Times New Roman"/>
        </w:rPr>
        <w:t>Латыповой</w:t>
      </w:r>
      <w:proofErr w:type="spellEnd"/>
      <w:r>
        <w:rPr>
          <w:rFonts w:ascii="Times New Roman" w:hAnsi="Times New Roman"/>
        </w:rPr>
        <w:t xml:space="preserve"> А.Ф. №1161-доп от 04.06.2024 г. приказ на премии был отменен.</w:t>
      </w:r>
    </w:p>
    <w:p w:rsidR="008868E2" w:rsidRDefault="008868E2" w:rsidP="008868E2">
      <w:pPr>
        <w:ind w:firstLine="570"/>
        <w:jc w:val="both"/>
        <w:rPr>
          <w:rFonts w:ascii="Times New Roman" w:hAnsi="Times New Roman"/>
        </w:rPr>
      </w:pPr>
      <w:r>
        <w:rPr>
          <w:rFonts w:ascii="Times New Roman" w:hAnsi="Times New Roman"/>
        </w:rPr>
        <w:t xml:space="preserve">Стоит также отметить, что финансовые показатели за 1 квартал 2024 г. были сформированы в апреле 2024 г. Раз в мае 2024 г. финансовой комиссией </w:t>
      </w:r>
      <w:proofErr w:type="gramStart"/>
      <w:r>
        <w:rPr>
          <w:rFonts w:ascii="Times New Roman" w:hAnsi="Times New Roman"/>
        </w:rPr>
        <w:t>приказ</w:t>
      </w:r>
      <w:proofErr w:type="gramEnd"/>
      <w:r>
        <w:rPr>
          <w:rFonts w:ascii="Times New Roman" w:hAnsi="Times New Roman"/>
        </w:rPr>
        <w:t xml:space="preserve"> был утвержден, значит с финансовыми показателями на тот период времени было все в порядке. Что такого произошло, что за период с 22.05.2024 г. по 04.06.2024 г. показатели, сформированные в апреле 2024 г. </w:t>
      </w:r>
      <w:proofErr w:type="gramStart"/>
      <w:r>
        <w:rPr>
          <w:rFonts w:ascii="Times New Roman" w:hAnsi="Times New Roman"/>
        </w:rPr>
        <w:t>резко</w:t>
      </w:r>
      <w:proofErr w:type="gramEnd"/>
      <w:r>
        <w:rPr>
          <w:rFonts w:ascii="Times New Roman" w:hAnsi="Times New Roman"/>
        </w:rPr>
        <w:t xml:space="preserve"> </w:t>
      </w:r>
      <w:r>
        <w:rPr>
          <w:rFonts w:ascii="Times New Roman" w:hAnsi="Times New Roman"/>
        </w:rPr>
        <w:lastRenderedPageBreak/>
        <w:t xml:space="preserve">поменялись и не позволили осуществить премии, вопрос, на который главный врач никому из сотрудников не дал вразумительного ответа. </w:t>
      </w:r>
    </w:p>
    <w:p w:rsidR="008868E2" w:rsidRDefault="008868E2" w:rsidP="008868E2">
      <w:pPr>
        <w:ind w:firstLine="570"/>
        <w:jc w:val="both"/>
        <w:rPr>
          <w:rFonts w:ascii="Times New Roman" w:hAnsi="Times New Roman"/>
        </w:rPr>
      </w:pPr>
      <w:r>
        <w:rPr>
          <w:rFonts w:ascii="Times New Roman" w:hAnsi="Times New Roman"/>
        </w:rPr>
        <w:t xml:space="preserve">Согласно </w:t>
      </w:r>
      <w:proofErr w:type="gramStart"/>
      <w:r>
        <w:rPr>
          <w:rFonts w:ascii="Times New Roman" w:hAnsi="Times New Roman"/>
        </w:rPr>
        <w:t>ТК РФ</w:t>
      </w:r>
      <w:proofErr w:type="gramEnd"/>
      <w:r>
        <w:rPr>
          <w:rFonts w:ascii="Times New Roman" w:hAnsi="Times New Roman"/>
        </w:rPr>
        <w:t xml:space="preserve"> работодатель обязан соблюдать трудовое законодательство и иные нормативно правовые акты, содержащие нормы трудового права и локальные нормативные акты, а также обязан обеспечить своевременную и в полном объеме выплату заработную плату в соответствии с квалификацией, сложностью труда и качеством выполненной работы.</w:t>
      </w:r>
    </w:p>
    <w:p w:rsidR="008868E2" w:rsidRDefault="008868E2" w:rsidP="008868E2">
      <w:pPr>
        <w:ind w:firstLine="570"/>
        <w:jc w:val="both"/>
        <w:rPr>
          <w:rFonts w:ascii="Times New Roman" w:hAnsi="Times New Roman"/>
        </w:rPr>
      </w:pPr>
      <w:r>
        <w:rPr>
          <w:rFonts w:ascii="Times New Roman" w:hAnsi="Times New Roman"/>
        </w:rPr>
        <w:t>В заключение отметим, что в период с января по май 2024 г. в нарушение норм действующего трудового законодательства работники недополучили большие суммы как гарантированной части заработных плат (</w:t>
      </w:r>
      <w:proofErr w:type="gramStart"/>
      <w:r>
        <w:rPr>
          <w:rFonts w:ascii="Times New Roman" w:hAnsi="Times New Roman"/>
        </w:rPr>
        <w:t>следовательно</w:t>
      </w:r>
      <w:proofErr w:type="gramEnd"/>
      <w:r>
        <w:rPr>
          <w:rFonts w:ascii="Times New Roman" w:hAnsi="Times New Roman"/>
        </w:rPr>
        <w:t xml:space="preserve"> и компенсационных доплат, начисляемых на оклад), так и стимулирующей, которые ни работодателем, ни Департаментом здравоохранения не планируются к возмещению. Департамент здравоохранения ЯНАО почти полгода занимался формальными отписками и искусственно задерживал внесение изменений в Отраслевое положение, переживая о том, что сотрудники могут слишком много денег получить. В связи со всеми изменениями, касающимися повышения уровня реального содержания заработных плат сотрудники больницы в описываемом периоде времени оказались в условиях, ухудшенных в сравнении с 2023 г. Каждый ответ Департамента здравоохранения противоречит другому и не находит подтверждения в нормативных источниках, главный врач в отношении данной ситуации вообще не дает никаких комментариев, не прислушивается к мнению коллектива, нарушает трудовое законодательство как работодатель. </w:t>
      </w:r>
    </w:p>
    <w:p w:rsidR="008868E2" w:rsidRDefault="008868E2" w:rsidP="008868E2">
      <w:pPr>
        <w:ind w:firstLine="570"/>
        <w:jc w:val="both"/>
        <w:rPr>
          <w:rFonts w:ascii="Times New Roman" w:hAnsi="Times New Roman"/>
        </w:rPr>
      </w:pPr>
      <w:r>
        <w:rPr>
          <w:rFonts w:ascii="Times New Roman" w:hAnsi="Times New Roman"/>
        </w:rPr>
        <w:t xml:space="preserve"> От имени коллектива ГБУЗ ЯНАО “</w:t>
      </w:r>
      <w:proofErr w:type="spellStart"/>
      <w:r>
        <w:rPr>
          <w:rFonts w:ascii="Times New Roman" w:hAnsi="Times New Roman"/>
        </w:rPr>
        <w:t>Лабытнангская</w:t>
      </w:r>
      <w:proofErr w:type="spellEnd"/>
      <w:r>
        <w:rPr>
          <w:rFonts w:ascii="Times New Roman" w:hAnsi="Times New Roman"/>
        </w:rPr>
        <w:t xml:space="preserve"> городская больница” просим провести детальную проверку деятельности Департамента здравоохранения ЯНАО и главного врача ГБУЗ ЯНАО “ЛГБ” на предмет соблюдения ими федерального трудового законодательства в части повышения уровня реального содержания заработных плат и установления надбавок стимулирующего характера с целью дальнейшего истребования с них недополученных всеми сотрудниками сумм заработных плат и сумм компенсаций.  </w:t>
      </w:r>
    </w:p>
    <w:p w:rsidR="008868E2" w:rsidRDefault="008868E2" w:rsidP="008868E2">
      <w:pPr>
        <w:ind w:firstLine="12"/>
        <w:jc w:val="both"/>
        <w:rPr>
          <w:rFonts w:ascii="Times New Roman" w:hAnsi="Times New Roman"/>
        </w:rPr>
      </w:pPr>
    </w:p>
    <w:p w:rsidR="008868E2" w:rsidRDefault="008868E2" w:rsidP="008868E2">
      <w:pPr>
        <w:ind w:firstLine="12"/>
        <w:jc w:val="both"/>
        <w:rPr>
          <w:rFonts w:ascii="Times New Roman" w:hAnsi="Times New Roman"/>
          <w:b/>
          <w:bCs/>
        </w:rPr>
      </w:pPr>
      <w:r>
        <w:rPr>
          <w:rFonts w:ascii="Times New Roman" w:hAnsi="Times New Roman"/>
          <w:b/>
          <w:bCs/>
        </w:rPr>
        <w:t xml:space="preserve">ПРИЛОЖЕНИЯ: </w:t>
      </w:r>
    </w:p>
    <w:p w:rsidR="008868E2" w:rsidRDefault="008868E2" w:rsidP="008868E2">
      <w:pPr>
        <w:numPr>
          <w:ilvl w:val="0"/>
          <w:numId w:val="3"/>
        </w:numPr>
        <w:ind w:left="0" w:firstLine="12"/>
        <w:jc w:val="both"/>
        <w:rPr>
          <w:rFonts w:ascii="Times New Roman" w:hAnsi="Times New Roman"/>
        </w:rPr>
      </w:pPr>
      <w:r>
        <w:rPr>
          <w:rFonts w:ascii="Times New Roman" w:hAnsi="Times New Roman"/>
        </w:rPr>
        <w:t>Письмо Департамента Здравоохранения ЯНАО №89-18/01-06/17040 от 29.11.2023 г.</w:t>
      </w:r>
    </w:p>
    <w:p w:rsidR="008868E2" w:rsidRDefault="008868E2" w:rsidP="008868E2">
      <w:pPr>
        <w:numPr>
          <w:ilvl w:val="0"/>
          <w:numId w:val="3"/>
        </w:numPr>
        <w:ind w:left="0" w:firstLine="12"/>
        <w:jc w:val="both"/>
        <w:rPr>
          <w:rFonts w:ascii="Times New Roman" w:hAnsi="Times New Roman"/>
        </w:rPr>
      </w:pPr>
      <w:r>
        <w:rPr>
          <w:rFonts w:ascii="Times New Roman" w:hAnsi="Times New Roman"/>
        </w:rPr>
        <w:t xml:space="preserve">Ответ Государственной инспекции труда в ЯНАО №89/7-1242-24-ОБ/61-11 от 24.05.2024 г. </w:t>
      </w:r>
    </w:p>
    <w:p w:rsidR="008868E2" w:rsidRDefault="008868E2" w:rsidP="008868E2">
      <w:pPr>
        <w:numPr>
          <w:ilvl w:val="0"/>
          <w:numId w:val="3"/>
        </w:numPr>
        <w:ind w:left="0" w:firstLine="12"/>
        <w:jc w:val="both"/>
        <w:rPr>
          <w:rFonts w:ascii="Times New Roman" w:hAnsi="Times New Roman"/>
        </w:rPr>
      </w:pPr>
      <w:r>
        <w:rPr>
          <w:rFonts w:ascii="Times New Roman" w:hAnsi="Times New Roman"/>
        </w:rPr>
        <w:t xml:space="preserve">Ответ Департамента здравоохранения о пересчете окладов с 01.01.2024 г. </w:t>
      </w:r>
    </w:p>
    <w:p w:rsidR="008868E2" w:rsidRDefault="008868E2" w:rsidP="00645B9E">
      <w:pPr>
        <w:numPr>
          <w:ilvl w:val="0"/>
          <w:numId w:val="3"/>
        </w:numPr>
        <w:ind w:left="0" w:firstLine="570"/>
        <w:jc w:val="both"/>
        <w:rPr>
          <w:rFonts w:ascii="Times New Roman" w:hAnsi="Times New Roman"/>
        </w:rPr>
      </w:pPr>
      <w:r w:rsidRPr="008868E2">
        <w:rPr>
          <w:rFonts w:ascii="Times New Roman" w:hAnsi="Times New Roman"/>
        </w:rPr>
        <w:t xml:space="preserve">Ответ Департамента здравоохранения о стимулирующих доплатах. </w:t>
      </w:r>
      <w:bookmarkStart w:id="0" w:name="_GoBack"/>
      <w:bookmarkEnd w:id="0"/>
    </w:p>
    <w:sectPr w:rsidR="008868E2" w:rsidSect="00E058F6">
      <w:pgSz w:w="11906" w:h="16838"/>
      <w:pgMar w:top="1035" w:right="1152" w:bottom="1440" w:left="1440"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2572"/>
    <w:multiLevelType w:val="hybridMultilevel"/>
    <w:tmpl w:val="8892CE1E"/>
    <w:lvl w:ilvl="0" w:tplc="DC9E2136">
      <w:start w:val="1"/>
      <w:numFmt w:val="bullet"/>
      <w:lvlText w:val="-"/>
      <w:lvlJc w:val="left"/>
      <w:pPr>
        <w:ind w:left="1296" w:hanging="360"/>
      </w:pPr>
      <w:rPr>
        <w:rFonts w:ascii="Calibri" w:hAnsi="Calibri"/>
      </w:rPr>
    </w:lvl>
    <w:lvl w:ilvl="1" w:tplc="88360F7C" w:tentative="1">
      <w:start w:val="1"/>
      <w:numFmt w:val="bullet"/>
      <w:lvlText w:val="o"/>
      <w:lvlJc w:val="left"/>
      <w:pPr>
        <w:ind w:left="2016" w:hanging="360"/>
      </w:pPr>
      <w:rPr>
        <w:rFonts w:ascii="Courier New" w:hAnsi="Courier New"/>
      </w:rPr>
    </w:lvl>
    <w:lvl w:ilvl="2" w:tplc="53F68BDC" w:tentative="1">
      <w:start w:val="1"/>
      <w:numFmt w:val="bullet"/>
      <w:lvlText w:val=""/>
      <w:lvlJc w:val="left"/>
      <w:pPr>
        <w:ind w:left="2737" w:hanging="360"/>
      </w:pPr>
      <w:rPr>
        <w:rFonts w:ascii="Wingdings" w:hAnsi="Wingdings"/>
      </w:rPr>
    </w:lvl>
    <w:lvl w:ilvl="3" w:tplc="D77095A4" w:tentative="1">
      <w:start w:val="1"/>
      <w:numFmt w:val="bullet"/>
      <w:lvlText w:val=""/>
      <w:lvlJc w:val="left"/>
      <w:pPr>
        <w:ind w:left="3457" w:hanging="360"/>
      </w:pPr>
      <w:rPr>
        <w:rFonts w:ascii="Symbol" w:hAnsi="Symbol"/>
      </w:rPr>
    </w:lvl>
    <w:lvl w:ilvl="4" w:tplc="2F94C268" w:tentative="1">
      <w:start w:val="1"/>
      <w:numFmt w:val="bullet"/>
      <w:lvlText w:val="o"/>
      <w:lvlJc w:val="left"/>
      <w:pPr>
        <w:ind w:left="4177" w:hanging="360"/>
      </w:pPr>
      <w:rPr>
        <w:rFonts w:ascii="Courier New" w:hAnsi="Courier New"/>
      </w:rPr>
    </w:lvl>
    <w:lvl w:ilvl="5" w:tplc="AE4648B8" w:tentative="1">
      <w:start w:val="1"/>
      <w:numFmt w:val="bullet"/>
      <w:lvlText w:val=""/>
      <w:lvlJc w:val="left"/>
      <w:pPr>
        <w:ind w:left="4897" w:hanging="360"/>
      </w:pPr>
      <w:rPr>
        <w:rFonts w:ascii="Wingdings" w:hAnsi="Wingdings"/>
      </w:rPr>
    </w:lvl>
    <w:lvl w:ilvl="6" w:tplc="152A53EC" w:tentative="1">
      <w:start w:val="1"/>
      <w:numFmt w:val="bullet"/>
      <w:lvlText w:val=""/>
      <w:lvlJc w:val="left"/>
      <w:pPr>
        <w:ind w:left="5617" w:hanging="360"/>
      </w:pPr>
      <w:rPr>
        <w:rFonts w:ascii="Symbol" w:hAnsi="Symbol"/>
      </w:rPr>
    </w:lvl>
    <w:lvl w:ilvl="7" w:tplc="1D4EAD74" w:tentative="1">
      <w:start w:val="1"/>
      <w:numFmt w:val="bullet"/>
      <w:lvlText w:val="o"/>
      <w:lvlJc w:val="left"/>
      <w:pPr>
        <w:ind w:left="6337" w:hanging="360"/>
      </w:pPr>
      <w:rPr>
        <w:rFonts w:ascii="Courier New" w:hAnsi="Courier New"/>
      </w:rPr>
    </w:lvl>
    <w:lvl w:ilvl="8" w:tplc="BFB4CDB6" w:tentative="1">
      <w:start w:val="1"/>
      <w:numFmt w:val="bullet"/>
      <w:lvlText w:val=""/>
      <w:lvlJc w:val="left"/>
      <w:pPr>
        <w:ind w:left="7057" w:hanging="360"/>
      </w:pPr>
      <w:rPr>
        <w:rFonts w:ascii="Wingdings" w:hAnsi="Wingdings"/>
      </w:rPr>
    </w:lvl>
  </w:abstractNum>
  <w:abstractNum w:abstractNumId="1" w15:restartNumberingAfterBreak="0">
    <w:nsid w:val="49E357EE"/>
    <w:multiLevelType w:val="hybridMultilevel"/>
    <w:tmpl w:val="378087AA"/>
    <w:lvl w:ilvl="0" w:tplc="1A30FB3E">
      <w:start w:val="1"/>
      <w:numFmt w:val="bullet"/>
      <w:lvlText w:val="-"/>
      <w:lvlJc w:val="left"/>
      <w:pPr>
        <w:ind w:left="1281" w:hanging="360"/>
      </w:pPr>
      <w:rPr>
        <w:rFonts w:ascii="Calibri" w:hAnsi="Calibri"/>
      </w:rPr>
    </w:lvl>
    <w:lvl w:ilvl="1" w:tplc="10468CBA" w:tentative="1">
      <w:start w:val="1"/>
      <w:numFmt w:val="bullet"/>
      <w:lvlText w:val="o"/>
      <w:lvlJc w:val="left"/>
      <w:pPr>
        <w:ind w:left="2001" w:hanging="360"/>
      </w:pPr>
      <w:rPr>
        <w:rFonts w:ascii="Courier New" w:hAnsi="Courier New"/>
      </w:rPr>
    </w:lvl>
    <w:lvl w:ilvl="2" w:tplc="3446DA20" w:tentative="1">
      <w:start w:val="1"/>
      <w:numFmt w:val="bullet"/>
      <w:lvlText w:val=""/>
      <w:lvlJc w:val="left"/>
      <w:pPr>
        <w:ind w:left="2722" w:hanging="360"/>
      </w:pPr>
      <w:rPr>
        <w:rFonts w:ascii="Wingdings" w:hAnsi="Wingdings"/>
      </w:rPr>
    </w:lvl>
    <w:lvl w:ilvl="3" w:tplc="7736BF3C" w:tentative="1">
      <w:start w:val="1"/>
      <w:numFmt w:val="bullet"/>
      <w:lvlText w:val=""/>
      <w:lvlJc w:val="left"/>
      <w:pPr>
        <w:ind w:left="3442" w:hanging="360"/>
      </w:pPr>
      <w:rPr>
        <w:rFonts w:ascii="Symbol" w:hAnsi="Symbol"/>
      </w:rPr>
    </w:lvl>
    <w:lvl w:ilvl="4" w:tplc="D9369F70" w:tentative="1">
      <w:start w:val="1"/>
      <w:numFmt w:val="bullet"/>
      <w:lvlText w:val="o"/>
      <w:lvlJc w:val="left"/>
      <w:pPr>
        <w:ind w:left="4162" w:hanging="360"/>
      </w:pPr>
      <w:rPr>
        <w:rFonts w:ascii="Courier New" w:hAnsi="Courier New"/>
      </w:rPr>
    </w:lvl>
    <w:lvl w:ilvl="5" w:tplc="F640BCA0" w:tentative="1">
      <w:start w:val="1"/>
      <w:numFmt w:val="bullet"/>
      <w:lvlText w:val=""/>
      <w:lvlJc w:val="left"/>
      <w:pPr>
        <w:ind w:left="4882" w:hanging="360"/>
      </w:pPr>
      <w:rPr>
        <w:rFonts w:ascii="Wingdings" w:hAnsi="Wingdings"/>
      </w:rPr>
    </w:lvl>
    <w:lvl w:ilvl="6" w:tplc="CBB8ECF2" w:tentative="1">
      <w:start w:val="1"/>
      <w:numFmt w:val="bullet"/>
      <w:lvlText w:val=""/>
      <w:lvlJc w:val="left"/>
      <w:pPr>
        <w:ind w:left="5602" w:hanging="360"/>
      </w:pPr>
      <w:rPr>
        <w:rFonts w:ascii="Symbol" w:hAnsi="Symbol"/>
      </w:rPr>
    </w:lvl>
    <w:lvl w:ilvl="7" w:tplc="C30C1E56" w:tentative="1">
      <w:start w:val="1"/>
      <w:numFmt w:val="bullet"/>
      <w:lvlText w:val="o"/>
      <w:lvlJc w:val="left"/>
      <w:pPr>
        <w:ind w:left="6322" w:hanging="360"/>
      </w:pPr>
      <w:rPr>
        <w:rFonts w:ascii="Courier New" w:hAnsi="Courier New"/>
      </w:rPr>
    </w:lvl>
    <w:lvl w:ilvl="8" w:tplc="30EC46CC" w:tentative="1">
      <w:start w:val="1"/>
      <w:numFmt w:val="bullet"/>
      <w:lvlText w:val=""/>
      <w:lvlJc w:val="left"/>
      <w:pPr>
        <w:ind w:left="7042" w:hanging="360"/>
      </w:pPr>
      <w:rPr>
        <w:rFonts w:ascii="Wingdings" w:hAnsi="Wingdings"/>
      </w:rPr>
    </w:lvl>
  </w:abstractNum>
  <w:abstractNum w:abstractNumId="2" w15:restartNumberingAfterBreak="0">
    <w:nsid w:val="655120E2"/>
    <w:multiLevelType w:val="hybridMultilevel"/>
    <w:tmpl w:val="5308B56E"/>
    <w:lvl w:ilvl="0" w:tplc="CF3CEED0">
      <w:start w:val="1"/>
      <w:numFmt w:val="decimal"/>
      <w:lvlText w:val="%1."/>
      <w:lvlJc w:val="left"/>
      <w:pPr>
        <w:ind w:left="1290" w:hanging="360"/>
      </w:pPr>
    </w:lvl>
    <w:lvl w:ilvl="1" w:tplc="554A85EC" w:tentative="1">
      <w:start w:val="1"/>
      <w:numFmt w:val="lowerLetter"/>
      <w:lvlText w:val="%2."/>
      <w:lvlJc w:val="left"/>
      <w:pPr>
        <w:ind w:left="2010" w:hanging="360"/>
      </w:pPr>
    </w:lvl>
    <w:lvl w:ilvl="2" w:tplc="1ECCD500" w:tentative="1">
      <w:start w:val="1"/>
      <w:numFmt w:val="lowerRoman"/>
      <w:lvlText w:val="%3."/>
      <w:lvlJc w:val="right"/>
      <w:pPr>
        <w:ind w:left="2730" w:hanging="360"/>
      </w:pPr>
    </w:lvl>
    <w:lvl w:ilvl="3" w:tplc="F39C6158" w:tentative="1">
      <w:start w:val="1"/>
      <w:numFmt w:val="decimal"/>
      <w:lvlText w:val="%4."/>
      <w:lvlJc w:val="left"/>
      <w:pPr>
        <w:ind w:left="3450" w:hanging="360"/>
      </w:pPr>
    </w:lvl>
    <w:lvl w:ilvl="4" w:tplc="CAC47C40" w:tentative="1">
      <w:start w:val="1"/>
      <w:numFmt w:val="lowerLetter"/>
      <w:lvlText w:val="%5."/>
      <w:lvlJc w:val="left"/>
      <w:pPr>
        <w:ind w:left="4170" w:hanging="360"/>
      </w:pPr>
    </w:lvl>
    <w:lvl w:ilvl="5" w:tplc="19CAB8D4" w:tentative="1">
      <w:start w:val="1"/>
      <w:numFmt w:val="lowerRoman"/>
      <w:lvlText w:val="%6."/>
      <w:lvlJc w:val="right"/>
      <w:pPr>
        <w:ind w:left="4890" w:hanging="360"/>
      </w:pPr>
    </w:lvl>
    <w:lvl w:ilvl="6" w:tplc="420AD276" w:tentative="1">
      <w:start w:val="1"/>
      <w:numFmt w:val="decimal"/>
      <w:lvlText w:val="%7."/>
      <w:lvlJc w:val="left"/>
      <w:pPr>
        <w:ind w:left="5610" w:hanging="360"/>
      </w:pPr>
    </w:lvl>
    <w:lvl w:ilvl="7" w:tplc="AD8E9734" w:tentative="1">
      <w:start w:val="1"/>
      <w:numFmt w:val="lowerLetter"/>
      <w:lvlText w:val="%8."/>
      <w:lvlJc w:val="left"/>
      <w:pPr>
        <w:ind w:left="6330" w:hanging="360"/>
      </w:pPr>
    </w:lvl>
    <w:lvl w:ilvl="8" w:tplc="311AFFDC" w:tentative="1">
      <w:start w:val="1"/>
      <w:numFmt w:val="lowerRoman"/>
      <w:lvlText w:val="%9."/>
      <w:lvlJc w:val="right"/>
      <w:pPr>
        <w:ind w:left="705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E2"/>
    <w:rsid w:val="00747823"/>
    <w:rsid w:val="00886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22B46-A4DB-4292-ABCF-857F5752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E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67020/" TargetMode="External"/><Relationship Id="rId5" Type="http://schemas.openxmlformats.org/officeDocument/2006/relationships/hyperlink" Target="http://base.garant.ru/10103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3413</Words>
  <Characters>19458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dc:creator>
  <cp:keywords/>
  <dc:description/>
  <cp:lastModifiedBy>Ulia</cp:lastModifiedBy>
  <cp:revision>1</cp:revision>
  <dcterms:created xsi:type="dcterms:W3CDTF">2024-06-14T03:00:00Z</dcterms:created>
  <dcterms:modified xsi:type="dcterms:W3CDTF">2024-06-14T03:00:00Z</dcterms:modified>
</cp:coreProperties>
</file>